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4EC0" w14:textId="58ED924F" w:rsidR="00503D4A" w:rsidRDefault="007C0305" w:rsidP="00503D4A">
      <w:pPr>
        <w:autoSpaceDE w:val="0"/>
        <w:autoSpaceDN w:val="0"/>
        <w:adjustRightInd w:val="0"/>
        <w:spacing w:line="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台灣基督長老教會朴子教會附設嘉義縣私立東明幼兒園</w:t>
      </w:r>
    </w:p>
    <w:p w14:paraId="2F9B1716" w14:textId="3B468672" w:rsidR="00483915" w:rsidRPr="00EA73E9" w:rsidRDefault="00ED23DF" w:rsidP="00DA46D1">
      <w:pPr>
        <w:autoSpaceDE w:val="0"/>
        <w:autoSpaceDN w:val="0"/>
        <w:adjustRightInd w:val="0"/>
        <w:spacing w:line="0" w:lineRule="atLeast"/>
        <w:jc w:val="center"/>
        <w:rPr>
          <w:rFonts w:ascii="標楷體" w:eastAsia="標楷體" w:hAnsi="標楷體" w:cs="標楷體"/>
          <w:color w:val="000000"/>
          <w:kern w:val="0"/>
          <w:szCs w:val="28"/>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256B75">
        <w:rPr>
          <w:rFonts w:ascii="標楷體" w:eastAsia="標楷體" w:hAnsi="標楷體" w:cs="標楷體" w:hint="eastAsia"/>
          <w:color w:val="000000"/>
          <w:kern w:val="0"/>
          <w:szCs w:val="28"/>
        </w:rPr>
        <w:t>6</w:t>
      </w:r>
      <w:r w:rsidRPr="00EA73E9">
        <w:rPr>
          <w:rFonts w:ascii="標楷體" w:eastAsia="標楷體" w:hAnsi="標楷體" w:cs="標楷體" w:hint="eastAsia"/>
          <w:color w:val="000000"/>
          <w:kern w:val="0"/>
          <w:szCs w:val="28"/>
        </w:rPr>
        <w:t>月</w:t>
      </w:r>
      <w:r w:rsidR="00F51CEB">
        <w:rPr>
          <w:rFonts w:ascii="標楷體" w:eastAsia="標楷體" w:hAnsi="標楷體" w:cs="標楷體" w:hint="eastAsia"/>
          <w:color w:val="000000"/>
          <w:kern w:val="0"/>
          <w:szCs w:val="28"/>
        </w:rPr>
        <w:t>2</w:t>
      </w:r>
      <w:r w:rsidR="00F51CEB">
        <w:rPr>
          <w:rFonts w:ascii="標楷體" w:eastAsia="標楷體" w:hAnsi="標楷體" w:cs="標楷體"/>
          <w:color w:val="000000"/>
          <w:kern w:val="0"/>
          <w:szCs w:val="28"/>
        </w:rPr>
        <w:t>8</w:t>
      </w:r>
      <w:r w:rsidRPr="00EA73E9">
        <w:rPr>
          <w:rFonts w:ascii="標楷體" w:eastAsia="標楷體" w:hAnsi="標楷體" w:cs="標楷體" w:hint="eastAsia"/>
          <w:color w:val="000000"/>
          <w:kern w:val="0"/>
          <w:szCs w:val="28"/>
        </w:rPr>
        <w:t>日)</w:t>
      </w:r>
    </w:p>
    <w:p w14:paraId="6BD170CB" w14:textId="77777777" w:rsidR="00912705" w:rsidRPr="00483915" w:rsidRDefault="00912705" w:rsidP="00DA46D1">
      <w:pPr>
        <w:autoSpaceDE w:val="0"/>
        <w:autoSpaceDN w:val="0"/>
        <w:adjustRightInd w:val="0"/>
        <w:spacing w:line="0" w:lineRule="atLeast"/>
        <w:jc w:val="center"/>
        <w:rPr>
          <w:rFonts w:ascii="標楷體" w:eastAsia="標楷體" w:hAnsi="標楷體" w:cs="標楷體"/>
          <w:color w:val="000000"/>
          <w:kern w:val="0"/>
          <w:sz w:val="16"/>
          <w:szCs w:val="16"/>
        </w:rPr>
      </w:pPr>
    </w:p>
    <w:p w14:paraId="5CE118BA" w14:textId="77777777" w:rsidR="00945974" w:rsidRPr="006D0B6F" w:rsidRDefault="00945974" w:rsidP="005C101B">
      <w:pPr>
        <w:autoSpaceDE w:val="0"/>
        <w:autoSpaceDN w:val="0"/>
        <w:adjustRightInd w:val="0"/>
        <w:spacing w:line="0" w:lineRule="atLeast"/>
        <w:ind w:left="708" w:hangingChars="253" w:hanging="708"/>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r w:rsidR="00777A59">
        <w:rPr>
          <w:rFonts w:ascii="標楷體" w:eastAsia="標楷體" w:hAnsi="標楷體" w:cs="標楷體" w:hint="eastAsia"/>
          <w:color w:val="000000"/>
          <w:kern w:val="0"/>
          <w:sz w:val="28"/>
          <w:szCs w:val="28"/>
        </w:rPr>
        <w:t>本園幼兒之收退費依據「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教育部推動及補助地方政府與私立教保服務機構合作提供準公共教保服務作業要點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427E7083" w14:textId="77777777"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A24B1F">
        <w:rPr>
          <w:rFonts w:ascii="標楷體" w:eastAsia="標楷體" w:hAnsi="標楷體" w:cs="DFYuan-Lt-HK-BF" w:hint="eastAsia"/>
          <w:kern w:val="0"/>
          <w:sz w:val="28"/>
          <w:szCs w:val="28"/>
        </w:rPr>
        <w:t>3</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年度收托年齡</w:t>
      </w:r>
      <w:r w:rsidRPr="006D0B6F">
        <w:rPr>
          <w:rFonts w:ascii="標楷體" w:eastAsia="標楷體" w:hAnsi="標楷體" w:cs="¼Ð·¢Åé"/>
          <w:color w:val="000000"/>
          <w:kern w:val="0"/>
          <w:sz w:val="28"/>
          <w:szCs w:val="28"/>
        </w:rPr>
        <w:t>(</w:t>
      </w:r>
      <w:r w:rsidRPr="006D0B6F">
        <w:rPr>
          <w:rFonts w:ascii="標楷體" w:eastAsia="標楷體" w:hAnsi="標楷體" w:cs="標楷體" w:hint="eastAsia"/>
          <w:color w:val="000000"/>
          <w:kern w:val="0"/>
          <w:sz w:val="28"/>
          <w:szCs w:val="28"/>
        </w:rPr>
        <w:t>採學齡制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07AF1C5F"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63E026A0"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109</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2936B838"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3460BFE"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E014FC">
        <w:rPr>
          <w:rFonts w:ascii="標楷體" w:eastAsia="標楷體" w:hAnsi="標楷體" w:cs="DFYuan-Lt-HK-BF" w:hint="eastAsia"/>
          <w:color w:val="000000"/>
          <w:kern w:val="0"/>
        </w:rPr>
        <w:t>幼班：</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2146EC56" w14:textId="77777777"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教保活動起迄日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8"/>
          <w:attr w:name="Day" w:val="01"/>
          <w:attr w:name="IsLunarDate" w:val="False"/>
          <w:attr w:name="IsROCDate" w:val="False"/>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1"/>
          <w:attr w:name="Day" w:val="31"/>
          <w:attr w:name="IsLunarDate" w:val="False"/>
          <w:attr w:name="IsROCDate" w:val="False"/>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38E569A6"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5412C6F1" w14:textId="77777777"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F6203B">
        <w:rPr>
          <w:rFonts w:ascii="標楷體" w:eastAsia="標楷體" w:hAnsi="標楷體" w:hint="eastAsia"/>
          <w:sz w:val="28"/>
          <w:szCs w:val="28"/>
        </w:rPr>
        <w:t>本園</w:t>
      </w:r>
      <w:r w:rsidR="00A24B1F">
        <w:rPr>
          <w:rFonts w:ascii="標楷體" w:eastAsia="標楷體" w:hAnsi="標楷體" w:hint="eastAsia"/>
          <w:sz w:val="28"/>
          <w:szCs w:val="28"/>
        </w:rPr>
        <w:t>113</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2B087C">
        <w:rPr>
          <w:rFonts w:ascii="標楷體" w:eastAsia="標楷體" w:hAnsi="標楷體" w:hint="eastAsia"/>
          <w:sz w:val="28"/>
          <w:szCs w:val="28"/>
        </w:rPr>
        <w:t>，</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6F66E9E2" w14:textId="77777777" w:rsidR="008C63A8" w:rsidRPr="00CF723F" w:rsidRDefault="002B087C" w:rsidP="00A21131">
      <w:pPr>
        <w:spacing w:line="32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D40D4C" w:rsidRPr="00F6203B">
        <w:rPr>
          <w:rFonts w:ascii="標楷體" w:eastAsia="標楷體" w:hAnsi="標楷體" w:hint="eastAsia"/>
          <w:sz w:val="28"/>
          <w:szCs w:val="28"/>
        </w:rPr>
        <w:t>本園採</w:t>
      </w:r>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3C575A">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7"/>
        <w:gridCol w:w="1417"/>
        <w:gridCol w:w="1418"/>
        <w:gridCol w:w="1417"/>
        <w:gridCol w:w="1418"/>
        <w:gridCol w:w="1955"/>
      </w:tblGrid>
      <w:tr w:rsidR="009916A6" w:rsidRPr="00612CED" w14:paraId="1014B27C" w14:textId="77777777" w:rsidTr="003C575A">
        <w:trPr>
          <w:trHeight w:val="351"/>
        </w:trPr>
        <w:tc>
          <w:tcPr>
            <w:tcW w:w="1701" w:type="dxa"/>
            <w:shd w:val="clear" w:color="auto" w:fill="auto"/>
            <w:vAlign w:val="center"/>
          </w:tcPr>
          <w:p w14:paraId="5A27773D"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47" w:type="dxa"/>
            <w:shd w:val="clear" w:color="auto" w:fill="auto"/>
            <w:vAlign w:val="center"/>
          </w:tcPr>
          <w:p w14:paraId="37164DFB" w14:textId="77777777"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6DBA6275"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22601F4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C9C1173"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6A5646E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0AEA51B4"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5A4D14B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A1FD43E"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121E37BA"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955" w:type="dxa"/>
            <w:shd w:val="clear" w:color="auto" w:fill="auto"/>
            <w:vAlign w:val="center"/>
          </w:tcPr>
          <w:p w14:paraId="2C4C8EF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14:paraId="74671DD4" w14:textId="77777777" w:rsidTr="003C575A">
        <w:trPr>
          <w:trHeight w:val="573"/>
        </w:trPr>
        <w:tc>
          <w:tcPr>
            <w:tcW w:w="1701" w:type="dxa"/>
            <w:shd w:val="clear" w:color="auto" w:fill="auto"/>
            <w:vAlign w:val="center"/>
          </w:tcPr>
          <w:p w14:paraId="050FE6FD" w14:textId="77777777"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14:paraId="4E1D2444" w14:textId="77777777"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4F0532EC" w14:textId="0362888D"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3000</w:t>
            </w:r>
          </w:p>
        </w:tc>
        <w:tc>
          <w:tcPr>
            <w:tcW w:w="1418" w:type="dxa"/>
            <w:shd w:val="clear" w:color="auto" w:fill="auto"/>
            <w:vAlign w:val="center"/>
          </w:tcPr>
          <w:p w14:paraId="157F68FF" w14:textId="5FE8E254"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7" w:type="dxa"/>
            <w:shd w:val="clear" w:color="auto" w:fill="auto"/>
            <w:vAlign w:val="center"/>
          </w:tcPr>
          <w:p w14:paraId="53EBA945" w14:textId="08285BDB" w:rsidR="005D4FC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8" w:type="dxa"/>
            <w:shd w:val="clear" w:color="auto" w:fill="auto"/>
            <w:vAlign w:val="center"/>
          </w:tcPr>
          <w:p w14:paraId="12C9A378" w14:textId="1114B4DE" w:rsidR="005D4FCC" w:rsidRPr="00464842" w:rsidRDefault="00D7176E" w:rsidP="00464842">
            <w:pPr>
              <w:jc w:val="center"/>
              <w:rPr>
                <w:rFonts w:ascii="標楷體" w:eastAsia="標楷體" w:hAnsi="標楷體"/>
              </w:rPr>
            </w:pPr>
            <w:r w:rsidRPr="00464842">
              <w:rPr>
                <w:rFonts w:ascii="標楷體" w:eastAsia="標楷體" w:hAnsi="標楷體" w:hint="eastAsia"/>
              </w:rPr>
              <w:t>2550</w:t>
            </w:r>
          </w:p>
        </w:tc>
        <w:tc>
          <w:tcPr>
            <w:tcW w:w="1955" w:type="dxa"/>
            <w:shd w:val="clear" w:color="auto" w:fill="auto"/>
            <w:vAlign w:val="center"/>
          </w:tcPr>
          <w:p w14:paraId="5C90FF8B" w14:textId="77777777"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r w:rsidRPr="00233A0D">
              <w:rPr>
                <w:rFonts w:ascii="標楷體" w:eastAsia="標楷體" w:hAnsi="標楷體" w:cs="標楷體"/>
                <w:color w:val="000000"/>
                <w:kern w:val="0"/>
                <w:sz w:val="14"/>
                <w:szCs w:val="20"/>
              </w:rPr>
              <w:t>胎子女：</w:t>
            </w:r>
            <w:r w:rsidRPr="00233A0D">
              <w:rPr>
                <w:rFonts w:ascii="標楷體" w:eastAsia="標楷體" w:hAnsi="標楷體" w:cs="標楷體" w:hint="eastAsia"/>
                <w:color w:val="000000"/>
                <w:kern w:val="0"/>
                <w:sz w:val="14"/>
                <w:szCs w:val="20"/>
              </w:rPr>
              <w:t>新式戶口名簿或戶籍謄本</w:t>
            </w:r>
          </w:p>
          <w:p w14:paraId="41A8663E" w14:textId="77777777"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14:paraId="6756F475" w14:textId="77777777" w:rsidTr="003C575A">
        <w:trPr>
          <w:trHeight w:val="551"/>
        </w:trPr>
        <w:tc>
          <w:tcPr>
            <w:tcW w:w="1701" w:type="dxa"/>
            <w:shd w:val="clear" w:color="auto" w:fill="auto"/>
            <w:vAlign w:val="center"/>
          </w:tcPr>
          <w:p w14:paraId="32F04EE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14:paraId="480F6ADA"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128307DD" w14:textId="1BDBEE4E"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2000</w:t>
            </w:r>
          </w:p>
        </w:tc>
        <w:tc>
          <w:tcPr>
            <w:tcW w:w="1418" w:type="dxa"/>
            <w:shd w:val="clear" w:color="auto" w:fill="auto"/>
            <w:vAlign w:val="center"/>
          </w:tcPr>
          <w:p w14:paraId="47D15485" w14:textId="36CFECAB"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7" w:type="dxa"/>
            <w:shd w:val="clear" w:color="auto" w:fill="auto"/>
            <w:vAlign w:val="center"/>
          </w:tcPr>
          <w:p w14:paraId="44A444BD" w14:textId="5BCFE961"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8" w:type="dxa"/>
            <w:shd w:val="clear" w:color="auto" w:fill="auto"/>
            <w:vAlign w:val="center"/>
          </w:tcPr>
          <w:p w14:paraId="6CEDD901" w14:textId="4217BB44"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1550</w:t>
            </w:r>
          </w:p>
        </w:tc>
        <w:tc>
          <w:tcPr>
            <w:tcW w:w="1955" w:type="dxa"/>
            <w:shd w:val="clear" w:color="auto" w:fill="auto"/>
            <w:vAlign w:val="center"/>
          </w:tcPr>
          <w:p w14:paraId="7BAAED1A" w14:textId="77777777"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EC194C" w:rsidRPr="00612CED" w14:paraId="4E089351" w14:textId="77777777" w:rsidTr="003C575A">
        <w:trPr>
          <w:trHeight w:val="415"/>
        </w:trPr>
        <w:tc>
          <w:tcPr>
            <w:tcW w:w="1701" w:type="dxa"/>
            <w:shd w:val="clear" w:color="auto" w:fill="auto"/>
            <w:vAlign w:val="center"/>
          </w:tcPr>
          <w:p w14:paraId="0DED09A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14:paraId="5997A9F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A5FB329" w14:textId="1E8F1EC4"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1000</w:t>
            </w:r>
          </w:p>
        </w:tc>
        <w:tc>
          <w:tcPr>
            <w:tcW w:w="1418" w:type="dxa"/>
            <w:shd w:val="clear" w:color="auto" w:fill="auto"/>
            <w:vAlign w:val="center"/>
          </w:tcPr>
          <w:p w14:paraId="3468E43E" w14:textId="173B4B5A"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7" w:type="dxa"/>
            <w:shd w:val="clear" w:color="auto" w:fill="auto"/>
            <w:vAlign w:val="center"/>
          </w:tcPr>
          <w:p w14:paraId="3708E8C7" w14:textId="15AC8229"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8" w:type="dxa"/>
            <w:shd w:val="clear" w:color="auto" w:fill="auto"/>
            <w:vAlign w:val="center"/>
          </w:tcPr>
          <w:p w14:paraId="6BD6F45B" w14:textId="160049B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550</w:t>
            </w:r>
          </w:p>
        </w:tc>
        <w:tc>
          <w:tcPr>
            <w:tcW w:w="1955" w:type="dxa"/>
            <w:shd w:val="clear" w:color="auto" w:fill="auto"/>
            <w:vAlign w:val="center"/>
          </w:tcPr>
          <w:p w14:paraId="30692DA3" w14:textId="77777777" w:rsidR="00EC194C" w:rsidRPr="00CF723F" w:rsidRDefault="00EC194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023EA28B" w14:textId="77777777" w:rsidTr="003C575A">
        <w:trPr>
          <w:trHeight w:val="597"/>
        </w:trPr>
        <w:tc>
          <w:tcPr>
            <w:tcW w:w="1701" w:type="dxa"/>
            <w:shd w:val="clear" w:color="auto" w:fill="auto"/>
            <w:vAlign w:val="center"/>
          </w:tcPr>
          <w:p w14:paraId="3A0860BE"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14:paraId="6E743C7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7C400966" w14:textId="739C13CD"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FB5978C" w14:textId="58C688CC"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7" w:type="dxa"/>
            <w:shd w:val="clear" w:color="auto" w:fill="auto"/>
            <w:vAlign w:val="center"/>
          </w:tcPr>
          <w:p w14:paraId="3483BBB0" w14:textId="160A23C2"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CC42302" w14:textId="2417BDE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0</w:t>
            </w:r>
          </w:p>
        </w:tc>
        <w:tc>
          <w:tcPr>
            <w:tcW w:w="1955" w:type="dxa"/>
            <w:shd w:val="clear" w:color="auto" w:fill="auto"/>
            <w:vAlign w:val="center"/>
          </w:tcPr>
          <w:p w14:paraId="4B7FD5EC"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613EF0" w:rsidRPr="00612CED" w14:paraId="6A1E0C30" w14:textId="77777777" w:rsidTr="00AE4A92">
        <w:trPr>
          <w:trHeight w:val="407"/>
        </w:trPr>
        <w:tc>
          <w:tcPr>
            <w:tcW w:w="1701" w:type="dxa"/>
            <w:shd w:val="clear" w:color="auto" w:fill="auto"/>
            <w:vAlign w:val="center"/>
          </w:tcPr>
          <w:p w14:paraId="37EE5FE0" w14:textId="77777777" w:rsidR="00613EF0" w:rsidRPr="00612CED" w:rsidRDefault="00613EF0" w:rsidP="00613EF0">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14:paraId="4EE0E2C0" w14:textId="77777777" w:rsidR="00613EF0" w:rsidRPr="003570C0" w:rsidRDefault="00613EF0" w:rsidP="00613EF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467D072" w14:textId="150A0C68"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3DB46015" w14:textId="54201F6C"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3FF5D163"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0E926165" w14:textId="546E9802"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7" w:type="dxa"/>
            <w:shd w:val="clear" w:color="auto" w:fill="auto"/>
            <w:vAlign w:val="center"/>
          </w:tcPr>
          <w:p w14:paraId="3C89479D"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7B256042" w14:textId="798D2EA5"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0B5DADC8"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40E5057D" w14:textId="23E08E5A"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955" w:type="dxa"/>
            <w:shd w:val="clear" w:color="auto" w:fill="auto"/>
            <w:vAlign w:val="center"/>
          </w:tcPr>
          <w:p w14:paraId="2D106C78" w14:textId="77777777" w:rsidR="00613EF0" w:rsidRPr="00612CED" w:rsidRDefault="00613EF0" w:rsidP="00613EF0">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60DC6D41" w14:textId="77777777" w:rsidTr="003C575A">
        <w:trPr>
          <w:trHeight w:val="411"/>
        </w:trPr>
        <w:tc>
          <w:tcPr>
            <w:tcW w:w="1701" w:type="dxa"/>
            <w:vMerge w:val="restart"/>
            <w:shd w:val="clear" w:color="auto" w:fill="auto"/>
            <w:vAlign w:val="center"/>
          </w:tcPr>
          <w:p w14:paraId="1DC66A0D" w14:textId="77777777" w:rsidR="00EC194C" w:rsidRPr="00F95AF5" w:rsidRDefault="00EC194C" w:rsidP="00E124A4">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14:paraId="5FDF3BAE" w14:textId="54B927D7" w:rsidR="00EC194C" w:rsidRPr="00496CD6" w:rsidRDefault="00613EF0" w:rsidP="00EC194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1時/天/月</w:t>
            </w:r>
          </w:p>
        </w:tc>
        <w:tc>
          <w:tcPr>
            <w:tcW w:w="1417" w:type="dxa"/>
            <w:shd w:val="clear" w:color="auto" w:fill="auto"/>
            <w:vAlign w:val="center"/>
          </w:tcPr>
          <w:p w14:paraId="12015C94" w14:textId="5B0404B9"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9494F7D" w14:textId="4AFD8061"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7" w:type="dxa"/>
            <w:shd w:val="clear" w:color="auto" w:fill="auto"/>
            <w:vAlign w:val="center"/>
          </w:tcPr>
          <w:p w14:paraId="6C7B5150" w14:textId="6B48E78F"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1EB6146" w14:textId="6173C162"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955" w:type="dxa"/>
            <w:vMerge w:val="restart"/>
            <w:shd w:val="clear" w:color="auto" w:fill="auto"/>
            <w:vAlign w:val="center"/>
          </w:tcPr>
          <w:p w14:paraId="4DFF93F8"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47682B9E" w14:textId="77777777" w:rsidTr="003C575A">
        <w:trPr>
          <w:trHeight w:val="417"/>
        </w:trPr>
        <w:tc>
          <w:tcPr>
            <w:tcW w:w="1701" w:type="dxa"/>
            <w:vMerge/>
            <w:shd w:val="clear" w:color="auto" w:fill="auto"/>
          </w:tcPr>
          <w:p w14:paraId="0358407E" w14:textId="77777777" w:rsidR="00EC194C" w:rsidRPr="00612CED" w:rsidRDefault="00EC194C" w:rsidP="00EC194C">
            <w:pPr>
              <w:autoSpaceDE w:val="0"/>
              <w:autoSpaceDN w:val="0"/>
              <w:adjustRightInd w:val="0"/>
              <w:spacing w:line="260" w:lineRule="exact"/>
              <w:rPr>
                <w:rFonts w:ascii="標楷體" w:eastAsia="標楷體" w:hAnsi="標楷體" w:cs="標楷體"/>
                <w:color w:val="000000"/>
                <w:kern w:val="0"/>
                <w:sz w:val="20"/>
                <w:szCs w:val="20"/>
              </w:rPr>
            </w:pPr>
          </w:p>
        </w:tc>
        <w:tc>
          <w:tcPr>
            <w:tcW w:w="1447" w:type="dxa"/>
            <w:shd w:val="clear" w:color="auto" w:fill="auto"/>
            <w:vAlign w:val="center"/>
          </w:tcPr>
          <w:p w14:paraId="6BAEC822" w14:textId="1BA62916" w:rsidR="00EC194C" w:rsidRPr="00612CED" w:rsidRDefault="001C5708"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2時/天/月</w:t>
            </w:r>
          </w:p>
        </w:tc>
        <w:tc>
          <w:tcPr>
            <w:tcW w:w="1417" w:type="dxa"/>
            <w:shd w:val="clear" w:color="auto" w:fill="auto"/>
            <w:vAlign w:val="center"/>
          </w:tcPr>
          <w:p w14:paraId="2B40C08E" w14:textId="67E3CD9D"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6E27D955" w14:textId="2C0A93B0"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7" w:type="dxa"/>
            <w:shd w:val="clear" w:color="auto" w:fill="auto"/>
            <w:vAlign w:val="center"/>
          </w:tcPr>
          <w:p w14:paraId="09C9723E" w14:textId="44E8D42B"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1030586B" w14:textId="52D68455"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955" w:type="dxa"/>
            <w:vMerge/>
            <w:shd w:val="clear" w:color="auto" w:fill="auto"/>
            <w:vAlign w:val="center"/>
          </w:tcPr>
          <w:p w14:paraId="29BCB49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5300BF5C" w14:textId="77777777" w:rsidTr="003C575A">
        <w:trPr>
          <w:trHeight w:val="409"/>
        </w:trPr>
        <w:tc>
          <w:tcPr>
            <w:tcW w:w="1701" w:type="dxa"/>
            <w:shd w:val="clear" w:color="auto" w:fill="auto"/>
            <w:vAlign w:val="center"/>
          </w:tcPr>
          <w:p w14:paraId="025E196E"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14:paraId="6F0239F2"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4375E078" w14:textId="77777777" w:rsidR="005C101B" w:rsidRPr="00422D5E" w:rsidRDefault="00EC194C" w:rsidP="00F64962">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1C312733"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24B98D92"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7D78DCCC"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955" w:type="dxa"/>
            <w:shd w:val="clear" w:color="auto" w:fill="auto"/>
            <w:vAlign w:val="center"/>
          </w:tcPr>
          <w:p w14:paraId="20BB783F"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338F175C" w14:textId="77777777" w:rsidTr="003C575A">
        <w:trPr>
          <w:trHeight w:val="299"/>
        </w:trPr>
        <w:tc>
          <w:tcPr>
            <w:tcW w:w="1701" w:type="dxa"/>
            <w:shd w:val="clear" w:color="auto" w:fill="auto"/>
            <w:vAlign w:val="center"/>
          </w:tcPr>
          <w:p w14:paraId="5EBA0848"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14:paraId="21DCA686"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0" w:type="dxa"/>
            <w:gridSpan w:val="4"/>
            <w:shd w:val="clear" w:color="auto" w:fill="auto"/>
            <w:vAlign w:val="center"/>
          </w:tcPr>
          <w:p w14:paraId="28ED1987" w14:textId="7DD1F280" w:rsidR="00EC194C" w:rsidRPr="00612CED" w:rsidRDefault="00973F93" w:rsidP="00973F93">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依公開招標決標之價格收取</w:t>
            </w:r>
          </w:p>
        </w:tc>
        <w:tc>
          <w:tcPr>
            <w:tcW w:w="1955" w:type="dxa"/>
            <w:shd w:val="clear" w:color="auto" w:fill="auto"/>
            <w:vAlign w:val="center"/>
          </w:tcPr>
          <w:p w14:paraId="2AF9286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5268791A" w14:textId="77777777" w:rsidTr="003C575A">
        <w:trPr>
          <w:trHeight w:val="481"/>
        </w:trPr>
        <w:tc>
          <w:tcPr>
            <w:tcW w:w="1701" w:type="dxa"/>
            <w:shd w:val="clear" w:color="auto" w:fill="auto"/>
            <w:vAlign w:val="center"/>
          </w:tcPr>
          <w:p w14:paraId="13800382"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14:paraId="311358F6"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955" w:type="dxa"/>
            <w:shd w:val="clear" w:color="auto" w:fill="auto"/>
            <w:vAlign w:val="center"/>
          </w:tcPr>
          <w:p w14:paraId="4E489AD3"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0CFABC3B"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0A13D87D" w14:textId="77777777" w:rsidR="009571DB" w:rsidRPr="002C6214" w:rsidRDefault="00EC194C" w:rsidP="00310EB3">
      <w:pPr>
        <w:pStyle w:val="a4"/>
        <w:tabs>
          <w:tab w:val="left" w:pos="1332"/>
        </w:tabs>
        <w:spacing w:beforeLines="0" w:before="0" w:afterLines="0" w:after="0" w:line="240" w:lineRule="auto"/>
        <w:ind w:leftChars="59" w:hangingChars="198" w:hanging="396"/>
        <w:jc w:val="both"/>
        <w:rPr>
          <w:sz w:val="20"/>
          <w:lang w:val="en-US" w:eastAsia="zh-TW"/>
        </w:rPr>
      </w:pPr>
      <w:r w:rsidRPr="00310EB3">
        <w:rPr>
          <w:sz w:val="20"/>
          <w:lang w:val="en-US" w:eastAsia="zh-TW"/>
        </w:rPr>
        <w:t>1、</w:t>
      </w:r>
      <w:r w:rsidR="00CC2875" w:rsidRPr="002C6214">
        <w:rPr>
          <w:rFonts w:hint="eastAsia"/>
          <w:sz w:val="20"/>
          <w:lang w:val="en-US" w:eastAsia="zh-TW"/>
        </w:rPr>
        <w:t>教育部推動及補助地方政府與私立教保服務機構合作提供準公共教保服務作業要點</w:t>
      </w:r>
      <w:r w:rsidR="00902A17" w:rsidRPr="002C6214">
        <w:rPr>
          <w:rFonts w:hint="eastAsia"/>
          <w:sz w:val="20"/>
          <w:lang w:val="en-US" w:eastAsia="zh-TW"/>
        </w:rPr>
        <w:t>第13點</w:t>
      </w:r>
      <w:r w:rsidR="00D0415E" w:rsidRPr="002C6214">
        <w:rPr>
          <w:rFonts w:hint="eastAsia"/>
          <w:sz w:val="20"/>
          <w:lang w:val="en-US" w:eastAsia="zh-TW"/>
        </w:rPr>
        <w:t>第2項</w:t>
      </w:r>
      <w:r w:rsidR="00741171" w:rsidRPr="002C6214">
        <w:rPr>
          <w:rFonts w:hint="eastAsia"/>
          <w:sz w:val="20"/>
          <w:lang w:val="en-US" w:eastAsia="zh-TW"/>
        </w:rPr>
        <w:t>規定</w:t>
      </w:r>
      <w:r w:rsidR="00D0415E" w:rsidRPr="002C6214">
        <w:rPr>
          <w:rFonts w:hint="eastAsia"/>
          <w:sz w:val="20"/>
          <w:lang w:val="en-US" w:eastAsia="zh-TW"/>
        </w:rPr>
        <w:t>：</w:t>
      </w:r>
    </w:p>
    <w:p w14:paraId="3664D79A" w14:textId="77777777" w:rsidR="00A2330E"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rFonts w:hint="eastAsia"/>
          <w:sz w:val="20"/>
          <w:lang w:val="en-US" w:eastAsia="zh-TW"/>
        </w:rPr>
        <w:t xml:space="preserve">  </w:t>
      </w:r>
      <w:r w:rsidR="00CC2875" w:rsidRPr="002C6214">
        <w:rPr>
          <w:rFonts w:hint="eastAsia"/>
          <w:sz w:val="20"/>
          <w:lang w:val="en-US" w:eastAsia="zh-TW"/>
        </w:rPr>
        <w:t>幼兒於學期教保服務起始日後，中途入園、</w:t>
      </w:r>
      <w:r>
        <w:rPr>
          <w:rFonts w:hint="eastAsia"/>
          <w:sz w:val="20"/>
          <w:lang w:val="en-US" w:eastAsia="zh-TW"/>
        </w:rPr>
        <w:t>離園及教保中心者，當月收取費用，應依前項費用按幼兒當月實際就學日</w:t>
      </w:r>
    </w:p>
    <w:p w14:paraId="55AFFE85" w14:textId="77777777" w:rsidR="00D0415E" w:rsidRPr="002C6214"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sz w:val="20"/>
          <w:lang w:val="en-US" w:eastAsia="zh-TW"/>
        </w:rPr>
        <w:t xml:space="preserve">  </w:t>
      </w:r>
      <w:r w:rsidR="00CC2875" w:rsidRPr="002C6214">
        <w:rPr>
          <w:rFonts w:hint="eastAsia"/>
          <w:sz w:val="20"/>
          <w:lang w:val="en-US" w:eastAsia="zh-TW"/>
        </w:rPr>
        <w:t>數比率計算。</w:t>
      </w:r>
    </w:p>
    <w:p w14:paraId="5BC40A68"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0AD02CAC" w14:textId="77777777" w:rsidR="008B1C38" w:rsidRPr="008B1C38" w:rsidRDefault="000A3DA2" w:rsidP="00534044">
      <w:pPr>
        <w:tabs>
          <w:tab w:val="left" w:pos="426"/>
          <w:tab w:val="left" w:pos="900"/>
          <w:tab w:val="left" w:pos="1080"/>
          <w:tab w:val="left" w:pos="1440"/>
        </w:tabs>
        <w:ind w:left="1700" w:rightChars="177" w:right="425" w:hangingChars="850" w:hanging="1700"/>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534044">
        <w:rPr>
          <w:rFonts w:ascii="標楷體" w:eastAsia="標楷體" w:hAnsi="標楷體"/>
          <w:color w:val="000000"/>
          <w:sz w:val="20"/>
          <w:szCs w:val="20"/>
        </w:rPr>
        <w:t xml:space="preserve"> </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14:paraId="6F4E83BF" w14:textId="77777777"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14:paraId="3221183F" w14:textId="77777777"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14:paraId="3AABE50E" w14:textId="77777777"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534044">
        <w:rPr>
          <w:rFonts w:ascii="標楷體" w:eastAsia="標楷體" w:hAnsi="標楷體" w:hint="eastAsia"/>
          <w:color w:val="000000"/>
          <w:sz w:val="20"/>
          <w:szCs w:val="20"/>
        </w:rPr>
        <w:t xml:space="preserve"> </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14:paraId="6F7F1E74" w14:textId="77777777"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14:paraId="7AC03635" w14:textId="77777777"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14:paraId="3AEC8903"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1F511860"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0520DE04" w14:textId="77777777"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EF51" w14:textId="77777777" w:rsidR="00F724D7" w:rsidRDefault="00F724D7" w:rsidP="00C6471F">
      <w:r>
        <w:separator/>
      </w:r>
    </w:p>
  </w:endnote>
  <w:endnote w:type="continuationSeparator" w:id="0">
    <w:p w14:paraId="41CE96B8" w14:textId="77777777" w:rsidR="00F724D7" w:rsidRDefault="00F724D7"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62BC" w14:textId="77777777" w:rsidR="00F724D7" w:rsidRDefault="00F724D7" w:rsidP="00C6471F">
      <w:r>
        <w:separator/>
      </w:r>
    </w:p>
  </w:footnote>
  <w:footnote w:type="continuationSeparator" w:id="0">
    <w:p w14:paraId="6904284C" w14:textId="77777777" w:rsidR="00F724D7" w:rsidRDefault="00F724D7"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A5C3B"/>
    <w:rsid w:val="001B5347"/>
    <w:rsid w:val="001C5708"/>
    <w:rsid w:val="001D3FB6"/>
    <w:rsid w:val="001E110D"/>
    <w:rsid w:val="002004DC"/>
    <w:rsid w:val="00207717"/>
    <w:rsid w:val="00207740"/>
    <w:rsid w:val="00207910"/>
    <w:rsid w:val="00233A0D"/>
    <w:rsid w:val="00245A31"/>
    <w:rsid w:val="0025508E"/>
    <w:rsid w:val="00256B33"/>
    <w:rsid w:val="00256B75"/>
    <w:rsid w:val="00273AF4"/>
    <w:rsid w:val="002B087C"/>
    <w:rsid w:val="002B1595"/>
    <w:rsid w:val="002B6FFF"/>
    <w:rsid w:val="002C6214"/>
    <w:rsid w:val="002D4B6B"/>
    <w:rsid w:val="002E618A"/>
    <w:rsid w:val="002F5B4C"/>
    <w:rsid w:val="002F76B5"/>
    <w:rsid w:val="00310EB3"/>
    <w:rsid w:val="003204D2"/>
    <w:rsid w:val="003326B3"/>
    <w:rsid w:val="0033774C"/>
    <w:rsid w:val="003423FF"/>
    <w:rsid w:val="003510FC"/>
    <w:rsid w:val="003570C0"/>
    <w:rsid w:val="0036024D"/>
    <w:rsid w:val="003633BB"/>
    <w:rsid w:val="00390904"/>
    <w:rsid w:val="003927BC"/>
    <w:rsid w:val="003946AB"/>
    <w:rsid w:val="003B5D80"/>
    <w:rsid w:val="003C2532"/>
    <w:rsid w:val="003C575A"/>
    <w:rsid w:val="003D3F78"/>
    <w:rsid w:val="003D56DF"/>
    <w:rsid w:val="003E0348"/>
    <w:rsid w:val="00422D5E"/>
    <w:rsid w:val="00425548"/>
    <w:rsid w:val="00426337"/>
    <w:rsid w:val="00430AED"/>
    <w:rsid w:val="00431926"/>
    <w:rsid w:val="004616FC"/>
    <w:rsid w:val="00464842"/>
    <w:rsid w:val="00470135"/>
    <w:rsid w:val="00483915"/>
    <w:rsid w:val="004841CE"/>
    <w:rsid w:val="0049438E"/>
    <w:rsid w:val="00496CD6"/>
    <w:rsid w:val="004A648C"/>
    <w:rsid w:val="004B6635"/>
    <w:rsid w:val="004D60EC"/>
    <w:rsid w:val="004F63DB"/>
    <w:rsid w:val="00503D4A"/>
    <w:rsid w:val="00534044"/>
    <w:rsid w:val="0059293B"/>
    <w:rsid w:val="00597A1E"/>
    <w:rsid w:val="005B2072"/>
    <w:rsid w:val="005C101B"/>
    <w:rsid w:val="005D1A80"/>
    <w:rsid w:val="005D4FCC"/>
    <w:rsid w:val="005E1BC5"/>
    <w:rsid w:val="00600FC5"/>
    <w:rsid w:val="00612CED"/>
    <w:rsid w:val="00613EF0"/>
    <w:rsid w:val="006972C3"/>
    <w:rsid w:val="006B2062"/>
    <w:rsid w:val="006C1598"/>
    <w:rsid w:val="006C5339"/>
    <w:rsid w:val="006D0B6F"/>
    <w:rsid w:val="006E5DDA"/>
    <w:rsid w:val="006F3112"/>
    <w:rsid w:val="00704132"/>
    <w:rsid w:val="00716AD1"/>
    <w:rsid w:val="00720759"/>
    <w:rsid w:val="00731064"/>
    <w:rsid w:val="007342DB"/>
    <w:rsid w:val="00734BE6"/>
    <w:rsid w:val="00741171"/>
    <w:rsid w:val="007722BB"/>
    <w:rsid w:val="00775468"/>
    <w:rsid w:val="00777A59"/>
    <w:rsid w:val="007B1A7E"/>
    <w:rsid w:val="007B32BE"/>
    <w:rsid w:val="007C0305"/>
    <w:rsid w:val="007C5D84"/>
    <w:rsid w:val="007C60C4"/>
    <w:rsid w:val="007D1C63"/>
    <w:rsid w:val="00825279"/>
    <w:rsid w:val="00831A2A"/>
    <w:rsid w:val="0085024B"/>
    <w:rsid w:val="00862B21"/>
    <w:rsid w:val="00866299"/>
    <w:rsid w:val="008916AF"/>
    <w:rsid w:val="008B1C38"/>
    <w:rsid w:val="008C4F5B"/>
    <w:rsid w:val="008C63A8"/>
    <w:rsid w:val="008D00A4"/>
    <w:rsid w:val="008E0D72"/>
    <w:rsid w:val="008E313D"/>
    <w:rsid w:val="008E4B30"/>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73F93"/>
    <w:rsid w:val="009916A6"/>
    <w:rsid w:val="009A110A"/>
    <w:rsid w:val="009B537D"/>
    <w:rsid w:val="009E09C9"/>
    <w:rsid w:val="009E73FC"/>
    <w:rsid w:val="00A21131"/>
    <w:rsid w:val="00A2330E"/>
    <w:rsid w:val="00A24B1F"/>
    <w:rsid w:val="00A53B89"/>
    <w:rsid w:val="00A724C0"/>
    <w:rsid w:val="00A8207E"/>
    <w:rsid w:val="00AC23AA"/>
    <w:rsid w:val="00AD6BF7"/>
    <w:rsid w:val="00AE31A5"/>
    <w:rsid w:val="00AE7A00"/>
    <w:rsid w:val="00AF256F"/>
    <w:rsid w:val="00B03F79"/>
    <w:rsid w:val="00B07233"/>
    <w:rsid w:val="00B45D4E"/>
    <w:rsid w:val="00B55BA4"/>
    <w:rsid w:val="00B8347C"/>
    <w:rsid w:val="00BA6BB0"/>
    <w:rsid w:val="00BB1C2F"/>
    <w:rsid w:val="00BB2C92"/>
    <w:rsid w:val="00BB5936"/>
    <w:rsid w:val="00BC00C3"/>
    <w:rsid w:val="00BD2A88"/>
    <w:rsid w:val="00BF647E"/>
    <w:rsid w:val="00C14357"/>
    <w:rsid w:val="00C6471F"/>
    <w:rsid w:val="00C66539"/>
    <w:rsid w:val="00C8425F"/>
    <w:rsid w:val="00C84547"/>
    <w:rsid w:val="00CB6788"/>
    <w:rsid w:val="00CC1301"/>
    <w:rsid w:val="00CC2875"/>
    <w:rsid w:val="00CF4403"/>
    <w:rsid w:val="00CF723F"/>
    <w:rsid w:val="00D0415E"/>
    <w:rsid w:val="00D26D27"/>
    <w:rsid w:val="00D40D4C"/>
    <w:rsid w:val="00D55743"/>
    <w:rsid w:val="00D7176E"/>
    <w:rsid w:val="00D71ECD"/>
    <w:rsid w:val="00D80A98"/>
    <w:rsid w:val="00D949C0"/>
    <w:rsid w:val="00DA46D1"/>
    <w:rsid w:val="00DB5D07"/>
    <w:rsid w:val="00DC69D2"/>
    <w:rsid w:val="00DD1814"/>
    <w:rsid w:val="00DD3C44"/>
    <w:rsid w:val="00DE3B52"/>
    <w:rsid w:val="00DF296D"/>
    <w:rsid w:val="00E014FC"/>
    <w:rsid w:val="00E124A4"/>
    <w:rsid w:val="00E4472E"/>
    <w:rsid w:val="00E458C0"/>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4060F"/>
    <w:rsid w:val="00F51CEB"/>
    <w:rsid w:val="00F6203B"/>
    <w:rsid w:val="00F64962"/>
    <w:rsid w:val="00F67DAD"/>
    <w:rsid w:val="00F724D7"/>
    <w:rsid w:val="00F83521"/>
    <w:rsid w:val="00F9576F"/>
    <w:rsid w:val="00F95AF5"/>
    <w:rsid w:val="00F96E9B"/>
    <w:rsid w:val="00FA54F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5D0668"/>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0837-5440-4593-B2D9-EC793917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226</Words>
  <Characters>1290</Characters>
  <Application>Microsoft Office Word</Application>
  <DocSecurity>0</DocSecurity>
  <Lines>10</Lines>
  <Paragraphs>3</Paragraphs>
  <ScaleCrop>false</ScaleCrop>
  <Company>CMT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13</cp:revision>
  <cp:lastPrinted>2022-08-23T07:04:00Z</cp:lastPrinted>
  <dcterms:created xsi:type="dcterms:W3CDTF">2024-06-17T10:42:00Z</dcterms:created>
  <dcterms:modified xsi:type="dcterms:W3CDTF">2024-06-27T01:59:00Z</dcterms:modified>
</cp:coreProperties>
</file>